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9C235D">
        <w:rPr>
          <w:sz w:val="28"/>
        </w:rPr>
        <w:t>Stammbrüche</w:t>
      </w:r>
      <w:r w:rsidR="00220FFD">
        <w:rPr>
          <w:sz w:val="28"/>
        </w:rPr>
        <w:t xml:space="preserve"> </w:t>
      </w:r>
      <w:r w:rsidR="009C235D">
        <w:rPr>
          <w:sz w:val="28"/>
        </w:rPr>
        <w:t>unter</w:t>
      </w:r>
      <w:r w:rsidR="00220FFD">
        <w:rPr>
          <w:sz w:val="28"/>
        </w:rPr>
        <w:t>such</w:t>
      </w:r>
      <w:r w:rsidR="009C235D">
        <w:rPr>
          <w:sz w:val="28"/>
        </w:rPr>
        <w:t>en</w:t>
      </w:r>
    </w:p>
    <w:p w:rsidR="00694A63" w:rsidRPr="00694A63" w:rsidRDefault="00694A63">
      <w:pPr>
        <w:pStyle w:val="IQB-Teilaufgabentitel"/>
        <w:rPr>
          <w:b/>
        </w:rPr>
      </w:pPr>
      <w:r w:rsidRPr="00694A63">
        <w:rPr>
          <w:b/>
        </w:rPr>
        <w:t>Merkmal</w:t>
      </w:r>
      <w:r w:rsidR="00220FFD">
        <w:rPr>
          <w:b/>
        </w:rPr>
        <w:t>e</w:t>
      </w:r>
      <w:r w:rsidR="009C235D">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9C235D" w:rsidTr="009C235D">
        <w:tc>
          <w:tcPr>
            <w:tcW w:w="2466" w:type="dxa"/>
            <w:tcBorders>
              <w:top w:val="single" w:sz="4" w:space="0" w:color="auto"/>
            </w:tcBorders>
            <w:vAlign w:val="center"/>
          </w:tcPr>
          <w:p w:rsidR="009C235D" w:rsidRDefault="009C235D" w:rsidP="002C18AC">
            <w:pPr>
              <w:pStyle w:val="IQB-Merkmal"/>
            </w:pPr>
            <w:r>
              <w:t>Leitidee</w:t>
            </w:r>
          </w:p>
        </w:tc>
        <w:tc>
          <w:tcPr>
            <w:tcW w:w="6604" w:type="dxa"/>
            <w:tcBorders>
              <w:top w:val="single" w:sz="4" w:space="0" w:color="auto"/>
            </w:tcBorders>
          </w:tcPr>
          <w:p w:rsidR="009C235D" w:rsidRDefault="009C235D" w:rsidP="002C18AC">
            <w:pPr>
              <w:pStyle w:val="IQB-Merkmalswert"/>
            </w:pPr>
            <w:r>
              <w:t>1. Zahl</w:t>
            </w:r>
          </w:p>
        </w:tc>
      </w:tr>
      <w:tr w:rsidR="009C235D" w:rsidTr="009C235D">
        <w:tc>
          <w:tcPr>
            <w:tcW w:w="2466" w:type="dxa"/>
            <w:vAlign w:val="center"/>
          </w:tcPr>
          <w:p w:rsidR="009C235D" w:rsidRDefault="009C235D" w:rsidP="002C18AC">
            <w:pPr>
              <w:pStyle w:val="IQB-Merkmal"/>
            </w:pPr>
            <w:r>
              <w:t>Allgemeine Kompetenz</w:t>
            </w:r>
          </w:p>
        </w:tc>
        <w:tc>
          <w:tcPr>
            <w:tcW w:w="6604" w:type="dxa"/>
          </w:tcPr>
          <w:p w:rsidR="009C235D" w:rsidRDefault="009C235D" w:rsidP="002C18AC">
            <w:pPr>
              <w:pStyle w:val="IQB-Merkmalswert"/>
            </w:pPr>
            <w:r>
              <w:t>Mit Mathematik symbolisch/ formal/ technisch umgehen (K5),</w:t>
            </w:r>
          </w:p>
          <w:p w:rsidR="009C235D" w:rsidRDefault="009C235D" w:rsidP="002C18AC">
            <w:pPr>
              <w:pStyle w:val="IQB-Merkmalswert"/>
            </w:pPr>
            <w:r>
              <w:t>Mathematisch kommunizieren (K6)</w:t>
            </w:r>
          </w:p>
        </w:tc>
      </w:tr>
      <w:tr w:rsidR="009C235D" w:rsidTr="009C235D">
        <w:tc>
          <w:tcPr>
            <w:tcW w:w="2466" w:type="dxa"/>
            <w:vAlign w:val="center"/>
          </w:tcPr>
          <w:p w:rsidR="009C235D" w:rsidRDefault="009C235D" w:rsidP="002C18AC">
            <w:pPr>
              <w:pStyle w:val="IQB-Merkmal"/>
            </w:pPr>
            <w:r>
              <w:t>Anforderungsbereich</w:t>
            </w:r>
          </w:p>
        </w:tc>
        <w:tc>
          <w:tcPr>
            <w:tcW w:w="6604" w:type="dxa"/>
          </w:tcPr>
          <w:p w:rsidR="009C235D" w:rsidRDefault="009C235D" w:rsidP="002C18AC">
            <w:pPr>
              <w:pStyle w:val="IQB-Merkmalswert"/>
            </w:pPr>
            <w:r>
              <w:t>I</w:t>
            </w:r>
          </w:p>
        </w:tc>
      </w:tr>
      <w:tr w:rsidR="009C235D" w:rsidTr="009C235D">
        <w:tc>
          <w:tcPr>
            <w:tcW w:w="2466" w:type="dxa"/>
            <w:tcBorders>
              <w:bottom w:val="single" w:sz="4" w:space="0" w:color="auto"/>
            </w:tcBorders>
            <w:vAlign w:val="center"/>
          </w:tcPr>
          <w:p w:rsidR="009C235D" w:rsidRDefault="009C235D" w:rsidP="002C18AC">
            <w:pPr>
              <w:pStyle w:val="IQB-Merkmal"/>
            </w:pPr>
            <w:r>
              <w:t>Kompetenzstufe</w:t>
            </w:r>
          </w:p>
        </w:tc>
        <w:tc>
          <w:tcPr>
            <w:tcW w:w="6604" w:type="dxa"/>
            <w:tcBorders>
              <w:bottom w:val="single" w:sz="4" w:space="0" w:color="auto"/>
            </w:tcBorders>
          </w:tcPr>
          <w:p w:rsidR="009C235D" w:rsidRDefault="009C235D" w:rsidP="002C18AC">
            <w:pPr>
              <w:pStyle w:val="IQB-Merkmalswert"/>
            </w:pPr>
            <w:r>
              <w:t>4</w:t>
            </w:r>
          </w:p>
        </w:tc>
      </w:tr>
    </w:tbl>
    <w:p w:rsidR="009C235D" w:rsidRPr="00694A63" w:rsidRDefault="009C235D" w:rsidP="009C235D">
      <w:pPr>
        <w:pStyle w:val="IQB-Teilaufgabentitel"/>
        <w:rPr>
          <w:b/>
        </w:rPr>
      </w:pPr>
      <w:r w:rsidRPr="00694A63">
        <w:rPr>
          <w:b/>
        </w:rPr>
        <w:t>Merkmal</w:t>
      </w:r>
      <w:r>
        <w:rPr>
          <w:b/>
        </w:rPr>
        <w:t xml:space="preserve">e der Teilaufgabe </w:t>
      </w:r>
      <w:r>
        <w:rPr>
          <w:b/>
        </w:rPr>
        <w:t>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9C235D" w:rsidTr="009C235D">
        <w:tc>
          <w:tcPr>
            <w:tcW w:w="2466" w:type="dxa"/>
            <w:tcBorders>
              <w:top w:val="single" w:sz="4" w:space="0" w:color="auto"/>
            </w:tcBorders>
            <w:vAlign w:val="center"/>
          </w:tcPr>
          <w:p w:rsidR="009C235D" w:rsidRDefault="009C235D" w:rsidP="002C18AC">
            <w:pPr>
              <w:pStyle w:val="IQB-Merkmal"/>
            </w:pPr>
            <w:r>
              <w:t>Leitidee</w:t>
            </w:r>
          </w:p>
        </w:tc>
        <w:tc>
          <w:tcPr>
            <w:tcW w:w="6604" w:type="dxa"/>
            <w:tcBorders>
              <w:top w:val="single" w:sz="4" w:space="0" w:color="auto"/>
            </w:tcBorders>
          </w:tcPr>
          <w:p w:rsidR="009C235D" w:rsidRDefault="009C235D" w:rsidP="002C18AC">
            <w:pPr>
              <w:pStyle w:val="IQB-Merkmalswert"/>
            </w:pPr>
            <w:r>
              <w:t>1. Zahl</w:t>
            </w:r>
          </w:p>
        </w:tc>
      </w:tr>
      <w:tr w:rsidR="009C235D" w:rsidTr="009C235D">
        <w:tc>
          <w:tcPr>
            <w:tcW w:w="2466" w:type="dxa"/>
            <w:vAlign w:val="center"/>
          </w:tcPr>
          <w:p w:rsidR="009C235D" w:rsidRDefault="009C235D" w:rsidP="002C18AC">
            <w:pPr>
              <w:pStyle w:val="IQB-Merkmal"/>
            </w:pPr>
            <w:r>
              <w:t>Allgemeine Kompetenz</w:t>
            </w:r>
          </w:p>
        </w:tc>
        <w:tc>
          <w:tcPr>
            <w:tcW w:w="6604" w:type="dxa"/>
          </w:tcPr>
          <w:p w:rsidR="009C235D" w:rsidRDefault="009C235D" w:rsidP="002C18AC">
            <w:pPr>
              <w:pStyle w:val="IQB-Merkmalswert"/>
            </w:pPr>
            <w:r w:rsidRPr="002C3323">
              <w:t>Probleme mathematisch lösen (K2)</w:t>
            </w:r>
            <w:r>
              <w:t>,</w:t>
            </w:r>
          </w:p>
          <w:p w:rsidR="009C235D" w:rsidRDefault="009C235D" w:rsidP="002C18AC">
            <w:pPr>
              <w:pStyle w:val="IQB-Merkmalswert"/>
            </w:pPr>
            <w:r>
              <w:t>Mit Mathematik symbolisch/ formal/ technisch umgehen (K5)</w:t>
            </w:r>
          </w:p>
        </w:tc>
      </w:tr>
      <w:tr w:rsidR="009C235D" w:rsidTr="009C235D">
        <w:tc>
          <w:tcPr>
            <w:tcW w:w="2466" w:type="dxa"/>
            <w:vAlign w:val="center"/>
          </w:tcPr>
          <w:p w:rsidR="009C235D" w:rsidRDefault="009C235D" w:rsidP="002C18AC">
            <w:pPr>
              <w:pStyle w:val="IQB-Merkmal"/>
            </w:pPr>
            <w:r>
              <w:t>Anforderungsbereich</w:t>
            </w:r>
          </w:p>
        </w:tc>
        <w:tc>
          <w:tcPr>
            <w:tcW w:w="6604" w:type="dxa"/>
          </w:tcPr>
          <w:p w:rsidR="009C235D" w:rsidRDefault="009C235D" w:rsidP="002C18AC">
            <w:pPr>
              <w:pStyle w:val="IQB-Merkmalswert"/>
            </w:pPr>
            <w:r>
              <w:t>II</w:t>
            </w:r>
          </w:p>
        </w:tc>
      </w:tr>
      <w:tr w:rsidR="009C235D" w:rsidTr="009C235D">
        <w:tc>
          <w:tcPr>
            <w:tcW w:w="2466" w:type="dxa"/>
            <w:tcBorders>
              <w:bottom w:val="single" w:sz="4" w:space="0" w:color="auto"/>
            </w:tcBorders>
            <w:vAlign w:val="center"/>
          </w:tcPr>
          <w:p w:rsidR="009C235D" w:rsidRDefault="009C235D" w:rsidP="002C18AC">
            <w:pPr>
              <w:pStyle w:val="IQB-Merkmal"/>
            </w:pPr>
            <w:r>
              <w:t>Kompetenzstufe</w:t>
            </w:r>
          </w:p>
        </w:tc>
        <w:tc>
          <w:tcPr>
            <w:tcW w:w="6604" w:type="dxa"/>
            <w:tcBorders>
              <w:bottom w:val="single" w:sz="4" w:space="0" w:color="auto"/>
            </w:tcBorders>
          </w:tcPr>
          <w:p w:rsidR="009C235D" w:rsidRDefault="009C235D" w:rsidP="002C18AC">
            <w:pPr>
              <w:pStyle w:val="IQB-Merkmalswert"/>
            </w:pPr>
            <w:r>
              <w:t>3</w:t>
            </w:r>
          </w:p>
        </w:tc>
      </w:tr>
    </w:tbl>
    <w:p w:rsidR="00694A63" w:rsidRPr="00694A63" w:rsidRDefault="00694A63" w:rsidP="00694A63">
      <w:pPr>
        <w:pStyle w:val="IQB-Teilaufgabentitel"/>
        <w:rPr>
          <w:b/>
        </w:rPr>
      </w:pPr>
      <w:r w:rsidRPr="00694A63">
        <w:rPr>
          <w:b/>
        </w:rPr>
        <w:t>Aufgabenbezogener Kommentar</w:t>
      </w:r>
    </w:p>
    <w:p w:rsidR="009C235D" w:rsidRPr="00A270A1" w:rsidRDefault="009C235D" w:rsidP="009C235D">
      <w:pPr>
        <w:pStyle w:val="IQB-Standard"/>
        <w:rPr>
          <w:sz w:val="22"/>
          <w:szCs w:val="22"/>
        </w:rPr>
      </w:pPr>
      <w:r w:rsidRPr="00A270A1">
        <w:rPr>
          <w:sz w:val="22"/>
          <w:szCs w:val="22"/>
        </w:rPr>
        <w:t>In dieser Aufgabe geht es schwerpunktmäßig um Größenvergleiche von Brüchen, weshalb sie der Leitidee Zahl (L1) zugeordnet wird.</w:t>
      </w:r>
    </w:p>
    <w:p w:rsidR="009C235D" w:rsidRPr="00A270A1" w:rsidRDefault="009C235D" w:rsidP="009C235D">
      <w:pPr>
        <w:pStyle w:val="IQB-Standard"/>
        <w:rPr>
          <w:sz w:val="22"/>
          <w:szCs w:val="22"/>
        </w:rPr>
      </w:pPr>
      <w:r w:rsidRPr="00A270A1">
        <w:rPr>
          <w:sz w:val="22"/>
          <w:szCs w:val="22"/>
        </w:rPr>
        <w:t>In der ersten Teilaufgabe sollen die Schülerinnen und Schüler zu einem gegebenen Stammbruch den nächstkleineren und den nächstgrößeren Stammbruch angeben bzw. umgekehrt zu einem gegebenen nächstgrößeren Stammbruch den ursprünglichen Stammbruch finden. Die Lernenden müssen hierzu das Konzept der Stammbrüche verstehen und Größenvergleiche von Brüchen anstellen können (K5). Weiterhin müssen sie die Tabelle richtig lesen (K6).</w:t>
      </w:r>
    </w:p>
    <w:p w:rsidR="009C235D" w:rsidRPr="00A270A1" w:rsidRDefault="009C235D" w:rsidP="009C235D">
      <w:pPr>
        <w:pStyle w:val="IQB-Standard"/>
        <w:rPr>
          <w:sz w:val="22"/>
          <w:szCs w:val="22"/>
        </w:rPr>
      </w:pPr>
      <w:r w:rsidRPr="00A270A1">
        <w:rPr>
          <w:sz w:val="22"/>
          <w:szCs w:val="22"/>
        </w:rPr>
        <w:t>Für eine korrekte Lösung der zweiten Teilaufgabe muss erkannt werden, dass es unendlich viele Stammbrüche gibt, die kleiner als ein vorgegebener Stammbruch sind. Es handelt sich hierbei um eine abstraktere Problemstellung, die eine Anwendung eines einfachen Routineverfahrens nicht zulässt (K2). Wie schon in der ersten Teilaufgabe müssen die Lernenden auch hier auf das Konzept der Stammbrüche zurückgreifen und Größenvergleiche von Brüchen anstellen (K5).</w:t>
      </w:r>
    </w:p>
    <w:p w:rsidR="009C235D" w:rsidRPr="00A270A1" w:rsidRDefault="009C235D" w:rsidP="009C235D">
      <w:pPr>
        <w:pStyle w:val="IQB-Standard"/>
        <w:rPr>
          <w:sz w:val="22"/>
          <w:szCs w:val="22"/>
        </w:rPr>
      </w:pPr>
      <w:r w:rsidRPr="00A270A1">
        <w:rPr>
          <w:sz w:val="22"/>
          <w:szCs w:val="22"/>
        </w:rPr>
        <w:t xml:space="preserve">Teilaufgabe </w:t>
      </w:r>
      <w:r>
        <w:rPr>
          <w:sz w:val="22"/>
          <w:szCs w:val="22"/>
        </w:rPr>
        <w:t>1</w:t>
      </w:r>
      <w:r w:rsidRPr="00A270A1">
        <w:rPr>
          <w:sz w:val="22"/>
          <w:szCs w:val="22"/>
        </w:rPr>
        <w:t xml:space="preserve"> ist dem Anforderungsbereich I zugeordnet, weil hier nur geringe kognitive Anforderungen an das Problemlösen gestellt werden und die Lernenden sich an einem vorgegebenen Beispiel orientieren können. Da</w:t>
      </w:r>
      <w:r>
        <w:rPr>
          <w:sz w:val="22"/>
          <w:szCs w:val="22"/>
        </w:rPr>
        <w:t xml:space="preserve"> </w:t>
      </w:r>
      <w:r w:rsidRPr="00A270A1">
        <w:rPr>
          <w:sz w:val="22"/>
          <w:szCs w:val="22"/>
        </w:rPr>
        <w:t>die Lernenden</w:t>
      </w:r>
      <w:r>
        <w:rPr>
          <w:sz w:val="22"/>
          <w:szCs w:val="22"/>
        </w:rPr>
        <w:t xml:space="preserve"> bei</w:t>
      </w:r>
      <w:r w:rsidRPr="00A270A1">
        <w:rPr>
          <w:sz w:val="22"/>
          <w:szCs w:val="22"/>
        </w:rPr>
        <w:t xml:space="preserve"> Teilaufgabe 2</w:t>
      </w:r>
      <w:r>
        <w:rPr>
          <w:sz w:val="22"/>
          <w:szCs w:val="22"/>
        </w:rPr>
        <w:t xml:space="preserve"> </w:t>
      </w:r>
      <w:r w:rsidRPr="00A270A1">
        <w:rPr>
          <w:sz w:val="22"/>
          <w:szCs w:val="22"/>
        </w:rPr>
        <w:t>einen Zusammenhang zwischen dem Stammbruchkonzept und dem Begriff der Unendlichkeit herstellen sollen</w:t>
      </w:r>
      <w:r>
        <w:rPr>
          <w:sz w:val="22"/>
          <w:szCs w:val="22"/>
        </w:rPr>
        <w:t>, wird</w:t>
      </w:r>
      <w:r w:rsidRPr="00A270A1">
        <w:rPr>
          <w:sz w:val="22"/>
          <w:szCs w:val="22"/>
        </w:rPr>
        <w:t xml:space="preserve"> ein größeres Abstraktionsvermögen erfordert</w:t>
      </w:r>
      <w:r>
        <w:rPr>
          <w:sz w:val="22"/>
          <w:szCs w:val="22"/>
        </w:rPr>
        <w:t xml:space="preserve">. Entsprechend </w:t>
      </w:r>
      <w:r w:rsidRPr="00A270A1">
        <w:rPr>
          <w:sz w:val="22"/>
          <w:szCs w:val="22"/>
        </w:rPr>
        <w:t>gehört diese Aufgabe zum Anforderungsbereich II.</w:t>
      </w:r>
    </w:p>
    <w:p w:rsidR="00694A63" w:rsidRPr="00694A63" w:rsidRDefault="00694A63" w:rsidP="00694A63">
      <w:pPr>
        <w:pStyle w:val="IQB-Teilaufgabentitel"/>
        <w:rPr>
          <w:b/>
        </w:rPr>
      </w:pPr>
      <w:r w:rsidRPr="00694A63">
        <w:rPr>
          <w:b/>
        </w:rPr>
        <w:t>Anregungen für den Unterricht</w:t>
      </w:r>
    </w:p>
    <w:p w:rsidR="009C235D" w:rsidRDefault="009C235D" w:rsidP="009C235D">
      <w:pPr>
        <w:pStyle w:val="IQB-Standard"/>
        <w:rPr>
          <w:sz w:val="22"/>
          <w:szCs w:val="22"/>
        </w:rPr>
      </w:pPr>
      <w:r w:rsidRPr="00A270A1">
        <w:rPr>
          <w:sz w:val="22"/>
          <w:szCs w:val="22"/>
        </w:rPr>
        <w:t>Die Bearbeitung beider Aufgabenteile gründet auf dem Verständnis, dass Brüche größer werden, wenn bei gleichbleibendem Zähler der Nenner kleiner wird, oder umgekehrt ein Bruch kleiner wird, wenn bei gleichbleibendem</w:t>
      </w:r>
      <w:r>
        <w:rPr>
          <w:sz w:val="22"/>
          <w:szCs w:val="22"/>
        </w:rPr>
        <w:t xml:space="preserve"> Zähler der Nenner größer wird.</w:t>
      </w:r>
    </w:p>
    <w:p w:rsidR="009C235D" w:rsidRPr="00A270A1" w:rsidRDefault="009C235D" w:rsidP="009C235D">
      <w:pPr>
        <w:pStyle w:val="IQB-Standard"/>
        <w:rPr>
          <w:sz w:val="22"/>
          <w:szCs w:val="22"/>
        </w:rPr>
      </w:pPr>
      <w:r w:rsidRPr="00A270A1">
        <w:rPr>
          <w:sz w:val="22"/>
          <w:szCs w:val="22"/>
        </w:rPr>
        <w:t xml:space="preserve">Dieses Verständnis kann anschaulich </w:t>
      </w:r>
      <w:r>
        <w:rPr>
          <w:sz w:val="22"/>
          <w:szCs w:val="22"/>
        </w:rPr>
        <w:t xml:space="preserve">etwa </w:t>
      </w:r>
      <w:r w:rsidRPr="00A270A1">
        <w:rPr>
          <w:sz w:val="22"/>
          <w:szCs w:val="22"/>
        </w:rPr>
        <w:t>durch die Verwendung von Kreisdiagrammen unterstützt</w:t>
      </w:r>
      <w:r>
        <w:rPr>
          <w:sz w:val="22"/>
          <w:szCs w:val="22"/>
        </w:rPr>
        <w:t xml:space="preserve"> werden:</w:t>
      </w:r>
    </w:p>
    <w:p w:rsidR="009C235D" w:rsidRPr="00455169" w:rsidRDefault="009C235D" w:rsidP="009C235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28"/>
      </w:tblGrid>
      <w:tr w:rsidR="009C235D" w:rsidTr="002C18AC">
        <w:tc>
          <w:tcPr>
            <w:tcW w:w="9778" w:type="dxa"/>
          </w:tcPr>
          <w:p w:rsidR="009C235D" w:rsidRDefault="009C235D" w:rsidP="002C18AC">
            <w:r>
              <w:rPr>
                <w:noProof/>
              </w:rPr>
              <w:lastRenderedPageBreak/>
              <mc:AlternateContent>
                <mc:Choice Requires="wps">
                  <w:drawing>
                    <wp:anchor distT="0" distB="0" distL="114298" distR="114298" simplePos="0" relativeHeight="251659264" behindDoc="0" locked="0" layoutInCell="1" allowOverlap="1">
                      <wp:simplePos x="0" y="0"/>
                      <wp:positionH relativeFrom="column">
                        <wp:posOffset>-137161</wp:posOffset>
                      </wp:positionH>
                      <wp:positionV relativeFrom="paragraph">
                        <wp:posOffset>-6985</wp:posOffset>
                      </wp:positionV>
                      <wp:extent cx="0" cy="1802130"/>
                      <wp:effectExtent l="19050" t="0" r="38100" b="45720"/>
                      <wp:wrapNone/>
                      <wp:docPr id="28" name="Gerader Verbinder 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802130"/>
                              </a:xfrm>
                              <a:prstGeom prst="line">
                                <a:avLst/>
                              </a:prstGeom>
                              <a:noFill/>
                              <a:ln w="57150" cap="flat" cmpd="sng" algn="ctr">
                                <a:solidFill>
                                  <a:sysClr val="window" lastClr="FFFFFF">
                                    <a:lumMod val="7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01FEB92B" id="Gerader Verbinder 28" o:spid="_x0000_s1026" style="position:absolute;z-index:25165926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0.8pt,-.55pt" to="-10.8pt,14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Z6x3QEAAKwDAAAOAAAAZHJzL2Uyb0RvYy54bWysU01v2zAMvQ/YfxB0X2xnyFoYcXpokF66&#10;LUC33RlZtoXqC6IaO/9+lJxk7XYb6oNA8eOJ75Fe301Gs6MMqJxteLUoOZNWuFbZvuE/f+w+3XKG&#10;EWwL2lnZ8JNEfrf5+GE9+lou3eB0KwMjEIv16Bs+xOjrokAxSAO4cF5aCnYuGIh0DX3RBhgJ3ehi&#10;WZZfitGF1gcnJCJ5t3OQbzJ+10kRv3cdysh0w6m3mM+Qz0M6i80a6j6AH5Q4twH/0YUBZenRK9QW&#10;IrCXoP6BMkoEh66LC+FM4bpOCZk5EJuq/IvN0wBeZi4kDvqrTPh+sOLbcR+Yahu+pElZMDSjBxkg&#10;TeWXDAdlk0UxEmr0WFP+vd2HRFVM9sk/OvGMFCveBNMF/Zw2dcGkdOLKpiz86Sq8nCITs1OQt7ot&#10;l9XnPJQC6kuhDxgfpDMsGQ3XyiZNoIbjI8b0NNSXlOS2bqe0znPVlo0NX91UKxq9AFqvTkMk03gi&#10;jLbnDHRPeytiyJDotGpTeQLCE97rwI5Aq0Mb17qRMw0YydnwXf5ykX4xX107592syvLS/1yf+3uD&#10;m5rdAg5zRQ4ldYmGtuldmdf2zO2Pksk6uPa0Dxe5aSVy2Xl90869vpP9+ifb/AYAAP//AwBQSwME&#10;FAAGAAgAAAAhAFtIqfjgAAAACgEAAA8AAABkcnMvZG93bnJldi54bWxMj01LxDAQhu+C/yGM4G03&#10;bZR1qU0XEYStHtR1Ebxlm7EtNpPSpN3qr3fEg97m4+GdZ/LN7Dox4RBaTxrSZQICqfK2pVrD/uVu&#10;sQYRoiFrOk+o4RMDbIrTk9xk1h/pGaddrAWHUMiMhibGPpMyVA06E5a+R+Ldux+cidwOtbSDOXK4&#10;66RKkpV0piW+0JgebxusPnaj0zBuy8ty//r1uH2aOvVwcd8HW75pfX4231yDiDjHPxh+9FkdCnY6&#10;+JFsEJ2GhUpXjHKRpiAY+B0cNKi1ugJZ5PL/C8U3AAAA//8DAFBLAQItABQABgAIAAAAIQC2gziS&#10;/gAAAOEBAAATAAAAAAAAAAAAAAAAAAAAAABbQ29udGVudF9UeXBlc10ueG1sUEsBAi0AFAAGAAgA&#10;AAAhADj9If/WAAAAlAEAAAsAAAAAAAAAAAAAAAAALwEAAF9yZWxzLy5yZWxzUEsBAi0AFAAGAAgA&#10;AAAhAMbNnrHdAQAArAMAAA4AAAAAAAAAAAAAAAAALgIAAGRycy9lMm9Eb2MueG1sUEsBAi0AFAAG&#10;AAgAAAAhAFtIqfjgAAAACgEAAA8AAAAAAAAAAAAAAAAANwQAAGRycy9kb3ducmV2LnhtbFBLBQYA&#10;AAAABAAEAPMAAABEBQAAAAA=&#10;" strokecolor="#bfbfbf" strokeweight="4.5pt">
                      <o:lock v:ext="edit" shapetype="f"/>
                    </v:line>
                  </w:pict>
                </mc:Fallback>
              </mc:AlternateContent>
            </w:r>
            <w:r w:rsidRPr="00914205">
              <w:rPr>
                <w:noProof/>
              </w:rPr>
              <w:drawing>
                <wp:inline distT="0" distB="0" distL="0" distR="0">
                  <wp:extent cx="4405630" cy="179324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05630" cy="1793240"/>
                          </a:xfrm>
                          <a:prstGeom prst="rect">
                            <a:avLst/>
                          </a:prstGeom>
                          <a:noFill/>
                          <a:ln>
                            <a:noFill/>
                          </a:ln>
                        </pic:spPr>
                      </pic:pic>
                    </a:graphicData>
                  </a:graphic>
                </wp:inline>
              </w:drawing>
            </w:r>
          </w:p>
        </w:tc>
      </w:tr>
    </w:tbl>
    <w:p w:rsidR="009C235D" w:rsidRDefault="009C235D" w:rsidP="009C235D"/>
    <w:p w:rsidR="009C235D" w:rsidRPr="00AB060D" w:rsidRDefault="009C235D" w:rsidP="009C235D">
      <w:pPr>
        <w:pStyle w:val="IQB-Standard"/>
        <w:rPr>
          <w:sz w:val="22"/>
          <w:szCs w:val="22"/>
        </w:rPr>
      </w:pPr>
      <w:r w:rsidRPr="00AB060D">
        <w:rPr>
          <w:sz w:val="22"/>
          <w:szCs w:val="22"/>
        </w:rPr>
        <w:t>In der Sekundarstufe II spielt dieses Verständnis noch einmal eine zentrale Rolle, wenn es darum geht, vor der Einführung von Ableitungsregeln den Grenzwert eines kleiner werdenden Steigungsdreiecks zu bilden. Viele Schülerinnen und Schüler werden zunächst verblüfft sein, dass ein endlicher Grenzwert existiert, wenn im Differenzenquotienten sowohl der Zähler als auch der Nenner gegen 0 gehen. Wird mithilfe einer Grenzwertbetrachtung die Ableitung einer Funktion an einer bestimmten Stelle bestimmt, kann das Verständnis von Brüchen hilfreich sein, um diesen didaktisch bedeutsamen Schritt hin zum rechnerischen Umgang mit Unendlichkeitsprozessen kenntlich zu machen.</w:t>
      </w:r>
    </w:p>
    <w:p w:rsidR="00694A63" w:rsidRPr="007E6CC0" w:rsidRDefault="00694A63" w:rsidP="009C235D">
      <w:pPr>
        <w:pStyle w:val="IQB-Standard"/>
        <w:rPr>
          <w:sz w:val="22"/>
          <w:szCs w:val="22"/>
        </w:rPr>
      </w:pPr>
      <w:bookmarkStart w:id="0" w:name="_GoBack"/>
      <w:bookmarkEnd w:id="0"/>
    </w:p>
    <w:sectPr w:rsidR="00694A63" w:rsidRPr="007E6CC0" w:rsidSect="00DB65DC">
      <w:headerReference w:type="even" r:id="rId9"/>
      <w:headerReference w:type="default" r:id="rId10"/>
      <w:footerReference w:type="even" r:id="rId11"/>
      <w:footerReference w:type="default" r:id="rId12"/>
      <w:headerReference w:type="first" r:id="rId13"/>
      <w:footerReference w:type="first" r:id="rId14"/>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57DE6434-21BA-49E1-82B1-7D4FC834A833}"/>
    <w:embedBold r:id="rId2" w:fontKey="{3A81433F-0049-48A6-B800-67F4F0B8F7B2}"/>
    <w:embedBoldItalic r:id="rId3" w:fontKey="{FFA58FFC-7F39-434E-BB29-ED2ACF20B80C}"/>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altName w:val="Courier New"/>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1"/>
  </w:num>
  <w:num w:numId="3">
    <w:abstractNumId w:val="0"/>
  </w:num>
  <w:num w:numId="4">
    <w:abstractNumId w:val="5"/>
  </w:num>
  <w:num w:numId="5">
    <w:abstractNumId w:val="2"/>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634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B42DE"/>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321C"/>
    <w:rsid w:val="00A25A42"/>
    <w:rsid w:val="00A47EC4"/>
    <w:rsid w:val="00A5510B"/>
    <w:rsid w:val="00A95DDE"/>
    <w:rsid w:val="00B8136A"/>
    <w:rsid w:val="00BC76A7"/>
    <w:rsid w:val="00BE7001"/>
    <w:rsid w:val="00C2374F"/>
    <w:rsid w:val="00C2385F"/>
    <w:rsid w:val="00C630C9"/>
    <w:rsid w:val="00C97AB9"/>
    <w:rsid w:val="00CA6E18"/>
    <w:rsid w:val="00CC0D5C"/>
    <w:rsid w:val="00CF32DF"/>
    <w:rsid w:val="00D44C7A"/>
    <w:rsid w:val="00D462AA"/>
    <w:rsid w:val="00D57617"/>
    <w:rsid w:val="00D67EE8"/>
    <w:rsid w:val="00D94169"/>
    <w:rsid w:val="00DA5629"/>
    <w:rsid w:val="00DB65DC"/>
    <w:rsid w:val="00DE1076"/>
    <w:rsid w:val="00DE3D52"/>
    <w:rsid w:val="00DF532B"/>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3489"/>
    <o:shapelayout v:ext="edit">
      <o:idmap v:ext="edit" data="1"/>
    </o:shapelayout>
  </w:shapeDefaults>
  <w:decimalSymbol w:val=","/>
  <w:listSeparator w:val=";"/>
  <w14:docId w14:val="5327E5FB"/>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99"/>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FD65A4-BADE-43BB-8E5F-1B20B05356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386</Words>
  <Characters>2624</Characters>
  <Application>Microsoft Office Word</Application>
  <DocSecurity>0</DocSecurity>
  <Lines>87</Lines>
  <Paragraphs>53</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2957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2025-05-22T13:39:00Z</dcterms:created>
  <dcterms:modified xsi:type="dcterms:W3CDTF">2025-05-22T13:39:00Z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